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19" w:lineRule="auto"/>
        <w:ind w:left="41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比选情况说明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75" w:line="219" w:lineRule="auto"/>
        <w:ind w:left="60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3"/>
          <w:sz w:val="23"/>
          <w:szCs w:val="23"/>
        </w:rPr>
        <w:t>一、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 </w:t>
      </w:r>
      <w:r>
        <w:rPr>
          <w:rFonts w:ascii="宋体" w:hAnsi="宋体" w:eastAsia="宋体" w:cs="宋体"/>
          <w:spacing w:val="-3"/>
          <w:sz w:val="23"/>
          <w:szCs w:val="23"/>
        </w:rPr>
        <w:t>项目基本情况</w:t>
      </w:r>
    </w:p>
    <w:p>
      <w:pPr>
        <w:spacing w:line="43" w:lineRule="auto"/>
        <w:rPr>
          <w:rFonts w:ascii="Arial"/>
          <w:sz w:val="2"/>
        </w:rPr>
      </w:pPr>
    </w:p>
    <w:tbl>
      <w:tblPr>
        <w:tblStyle w:val="6"/>
        <w:tblW w:w="949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3701"/>
        <w:gridCol w:w="1269"/>
        <w:gridCol w:w="3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99" w:type="dxa"/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before="78" w:line="219" w:lineRule="auto"/>
              <w:ind w:left="114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采购单位</w:t>
            </w:r>
          </w:p>
        </w:tc>
        <w:tc>
          <w:tcPr>
            <w:tcW w:w="3701" w:type="dxa"/>
            <w:vAlign w:val="top"/>
          </w:tcPr>
          <w:p>
            <w:pPr>
              <w:spacing w:line="205" w:lineRule="auto"/>
              <w:ind w:left="1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上海金山新城基础设施建设管理有限公司</w:t>
            </w:r>
          </w:p>
        </w:tc>
        <w:tc>
          <w:tcPr>
            <w:tcW w:w="1269" w:type="dxa"/>
            <w:vAlign w:val="top"/>
          </w:tcPr>
          <w:p>
            <w:pPr>
              <w:spacing w:line="263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spacing w:before="78" w:line="219" w:lineRule="auto"/>
              <w:ind w:left="164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代理机构</w:t>
            </w:r>
          </w:p>
        </w:tc>
        <w:tc>
          <w:tcPr>
            <w:tcW w:w="3321" w:type="dxa"/>
            <w:vAlign w:val="top"/>
          </w:tcPr>
          <w:p>
            <w:pPr>
              <w:spacing w:line="212" w:lineRule="auto"/>
              <w:ind w:left="11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上海金阁建设咨询有限公司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199" w:type="dxa"/>
            <w:vAlign w:val="top"/>
          </w:tcPr>
          <w:p>
            <w:pPr>
              <w:spacing w:before="162" w:line="220" w:lineRule="auto"/>
              <w:ind w:left="114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8291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围填海施工便道一期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99" w:type="dxa"/>
            <w:vAlign w:val="top"/>
          </w:tcPr>
          <w:p>
            <w:pPr>
              <w:spacing w:before="172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采购方式</w:t>
            </w:r>
          </w:p>
        </w:tc>
        <w:tc>
          <w:tcPr>
            <w:tcW w:w="8291" w:type="dxa"/>
            <w:gridSpan w:val="3"/>
            <w:vAlign w:val="top"/>
          </w:tcPr>
          <w:p>
            <w:pPr>
              <w:spacing w:before="180" w:line="224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比选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8" w:line="463" w:lineRule="exact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报价响应</w:t>
            </w:r>
          </w:p>
          <w:p>
            <w:pPr>
              <w:spacing w:line="220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8291" w:type="dxa"/>
            <w:gridSpan w:val="3"/>
            <w:vAlign w:val="top"/>
          </w:tcPr>
          <w:p>
            <w:pPr>
              <w:spacing w:before="206" w:line="202" w:lineRule="auto"/>
              <w:ind w:left="27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上海市金山区张堰城乡建设有限公司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1" w:type="dxa"/>
            <w:gridSpan w:val="3"/>
            <w:vAlign w:val="top"/>
          </w:tcPr>
          <w:p>
            <w:pPr>
              <w:spacing w:before="196" w:line="202" w:lineRule="auto"/>
              <w:ind w:left="27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上海民扬建筑有限公司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1" w:type="dxa"/>
            <w:gridSpan w:val="3"/>
            <w:vAlign w:val="top"/>
          </w:tcPr>
          <w:p>
            <w:pPr>
              <w:spacing w:before="208" w:line="193" w:lineRule="auto"/>
              <w:ind w:left="271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上海煜石建筑工程有限公司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99" w:type="dxa"/>
            <w:vAlign w:val="top"/>
          </w:tcPr>
          <w:p>
            <w:pPr>
              <w:spacing w:before="198" w:line="469" w:lineRule="exact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4"/>
                <w:szCs w:val="24"/>
              </w:rPr>
              <w:t>比选文件</w:t>
            </w:r>
          </w:p>
          <w:p>
            <w:pPr>
              <w:spacing w:line="196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发布日期</w:t>
            </w:r>
          </w:p>
        </w:tc>
        <w:tc>
          <w:tcPr>
            <w:tcW w:w="8291" w:type="dxa"/>
            <w:gridSpan w:val="3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日</w:t>
            </w:r>
          </w:p>
        </w:tc>
      </w:tr>
    </w:tbl>
    <w:p>
      <w:pPr>
        <w:spacing w:before="152" w:line="220" w:lineRule="auto"/>
        <w:ind w:left="578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二、</w:t>
      </w:r>
      <w:r>
        <w:rPr>
          <w:rFonts w:ascii="宋体" w:hAnsi="宋体" w:eastAsia="宋体" w:cs="宋体"/>
          <w:spacing w:val="32"/>
          <w:sz w:val="25"/>
          <w:szCs w:val="25"/>
        </w:rPr>
        <w:t xml:space="preserve">  </w:t>
      </w: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比选过程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本次比选于202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日对外发布项目比选文件，邀请上述3家单位参与比选，3家单位均前来领取比选文件。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本次报价文件递交截止时间为202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日上午9:30,并同时在上海市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金山区龙山路海汇街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31号二楼会议进行唱价。</w:t>
      </w:r>
    </w:p>
    <w:p>
      <w:pPr>
        <w:bidi w:val="0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截至报价文件截止时间共有3家单位递交了报价文件，分别是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上海市金山区张堰城乡建设有限公司、上海民扬建筑有限公司、上海煜石建筑工程有限公司</w:t>
      </w:r>
      <w:r>
        <w:rPr>
          <w:rFonts w:hint="eastAsia" w:ascii="宋体" w:hAnsi="宋体" w:eastAsia="宋体" w:cs="宋体"/>
          <w:sz w:val="24"/>
          <w:szCs w:val="24"/>
        </w:rPr>
        <w:t>上述三家单位符合性检查均满足比选文件要求。</w:t>
      </w:r>
    </w:p>
    <w:p>
      <w:pPr>
        <w:spacing w:before="157" w:line="218" w:lineRule="auto"/>
        <w:ind w:left="578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3"/>
          <w:sz w:val="25"/>
          <w:szCs w:val="25"/>
        </w:rPr>
        <w:t>三、</w:t>
      </w:r>
      <w:r>
        <w:rPr>
          <w:rFonts w:ascii="宋体" w:hAnsi="宋体" w:eastAsia="宋体" w:cs="宋体"/>
          <w:spacing w:val="17"/>
          <w:sz w:val="25"/>
          <w:szCs w:val="25"/>
        </w:rPr>
        <w:t xml:space="preserve">  </w:t>
      </w:r>
      <w:r>
        <w:rPr>
          <w:rFonts w:ascii="宋体" w:hAnsi="宋体" w:eastAsia="宋体" w:cs="宋体"/>
          <w:b/>
          <w:bCs/>
          <w:spacing w:val="-13"/>
          <w:sz w:val="25"/>
          <w:szCs w:val="25"/>
        </w:rPr>
        <w:t>报价单位情况</w:t>
      </w:r>
    </w:p>
    <w:p/>
    <w:p/>
    <w:p>
      <w:pPr>
        <w:spacing w:line="35" w:lineRule="auto"/>
        <w:rPr>
          <w:rFonts w:ascii="Arial"/>
          <w:sz w:val="2"/>
        </w:rPr>
      </w:pPr>
    </w:p>
    <w:tbl>
      <w:tblPr>
        <w:tblStyle w:val="6"/>
        <w:tblW w:w="82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3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963" w:type="dxa"/>
            <w:vAlign w:val="top"/>
          </w:tcPr>
          <w:p>
            <w:pPr>
              <w:spacing w:before="192" w:line="452" w:lineRule="exact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17"/>
                <w:sz w:val="22"/>
                <w:szCs w:val="22"/>
              </w:rPr>
              <w:t>报价响应</w:t>
            </w:r>
          </w:p>
          <w:p>
            <w:pPr>
              <w:spacing w:line="220" w:lineRule="auto"/>
              <w:ind w:left="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2250" w:type="dxa"/>
            <w:vAlign w:val="top"/>
          </w:tcPr>
          <w:p>
            <w:pPr>
              <w:spacing w:before="192" w:line="218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报价金额(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963" w:type="dxa"/>
            <w:vAlign w:val="top"/>
          </w:tcPr>
          <w:p>
            <w:pPr>
              <w:spacing w:before="180" w:line="221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上海市金山区张堰城乡建设有限公司</w:t>
            </w:r>
          </w:p>
        </w:tc>
        <w:tc>
          <w:tcPr>
            <w:tcW w:w="225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firstLine="220" w:firstLineChars="1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963" w:type="dxa"/>
            <w:vAlign w:val="top"/>
          </w:tcPr>
          <w:p>
            <w:pPr>
              <w:spacing w:line="196" w:lineRule="auto"/>
              <w:ind w:left="15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196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上海民扬建筑有限公司</w:t>
            </w:r>
          </w:p>
        </w:tc>
        <w:tc>
          <w:tcPr>
            <w:tcW w:w="225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firstLine="220" w:firstLineChars="1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963" w:type="dxa"/>
            <w:vAlign w:val="top"/>
          </w:tcPr>
          <w:p>
            <w:pPr>
              <w:spacing w:before="200" w:line="221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上海煜石建筑工程有限公司</w:t>
            </w:r>
          </w:p>
        </w:tc>
        <w:tc>
          <w:tcPr>
            <w:tcW w:w="2250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ind w:firstLine="210" w:firstLineChars="100"/>
              <w:rPr>
                <w:rFonts w:hint="eastAsia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851017</w:t>
            </w:r>
          </w:p>
          <w:p>
            <w:pPr>
              <w:spacing w:before="71" w:line="183" w:lineRule="auto"/>
              <w:ind w:firstLine="432" w:firstLineChars="200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0" w:h="16820"/>
          <w:pgMar w:top="1416" w:right="954" w:bottom="899" w:left="845" w:header="0" w:footer="73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81" w:line="221" w:lineRule="auto"/>
        <w:ind w:left="578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9"/>
          <w:sz w:val="25"/>
          <w:szCs w:val="25"/>
        </w:rPr>
        <w:t>四、结论</w:t>
      </w:r>
    </w:p>
    <w:p>
      <w:pPr>
        <w:spacing w:before="181" w:line="345" w:lineRule="auto"/>
        <w:ind w:left="525" w:right="587" w:firstLine="509"/>
        <w:jc w:val="both"/>
        <w:rPr>
          <w:rFonts w:ascii="宋体" w:hAnsi="宋体" w:eastAsia="宋体" w:cs="宋体"/>
          <w:sz w:val="25"/>
          <w:szCs w:val="25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970915</wp:posOffset>
            </wp:positionV>
            <wp:extent cx="1924685" cy="1848485"/>
            <wp:effectExtent l="0" t="0" r="18415" b="184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2"/>
          <w:sz w:val="25"/>
          <w:szCs w:val="25"/>
        </w:rPr>
        <w:t>根据上述单位的综合情况，</w:t>
      </w:r>
      <w:r>
        <w:rPr>
          <w:rFonts w:ascii="宋体" w:hAnsi="宋体" w:eastAsia="宋体" w:cs="宋体"/>
          <w:spacing w:val="22"/>
          <w:sz w:val="25"/>
          <w:szCs w:val="25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上海民扬建筑有限公司</w:t>
      </w:r>
      <w:r>
        <w:rPr>
          <w:rFonts w:ascii="宋体" w:hAnsi="宋体" w:eastAsia="宋体" w:cs="宋体"/>
          <w:spacing w:val="-12"/>
          <w:sz w:val="25"/>
          <w:szCs w:val="25"/>
        </w:rPr>
        <w:t>最优，且符合比选文件的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7"/>
          <w:sz w:val="25"/>
          <w:szCs w:val="25"/>
        </w:rPr>
        <w:t>相关规定，根据比选文件中定标的有关规定，建议确定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上海民扬建筑有限公司</w:t>
      </w:r>
      <w:r>
        <w:rPr>
          <w:rFonts w:ascii="宋体" w:hAnsi="宋体" w:eastAsia="宋体" w:cs="宋体"/>
          <w:spacing w:val="-7"/>
          <w:sz w:val="25"/>
          <w:szCs w:val="25"/>
        </w:rPr>
        <w:t>为</w:t>
      </w:r>
      <w:r>
        <w:rPr>
          <w:rFonts w:ascii="宋体" w:hAnsi="宋体" w:eastAsia="宋体" w:cs="宋体"/>
          <w:spacing w:val="-5"/>
          <w:sz w:val="25"/>
          <w:szCs w:val="25"/>
        </w:rPr>
        <w:t>本次</w:t>
      </w:r>
      <w:r>
        <w:rPr>
          <w:rFonts w:hint="eastAsia" w:ascii="宋体" w:hAnsi="宋体" w:eastAsia="宋体" w:cs="宋体"/>
          <w:spacing w:val="-5"/>
          <w:sz w:val="25"/>
          <w:szCs w:val="25"/>
          <w:lang w:eastAsia="zh-CN"/>
        </w:rPr>
        <w:t>围填海施工便道一期</w:t>
      </w:r>
      <w:r>
        <w:rPr>
          <w:rFonts w:ascii="宋体" w:hAnsi="宋体" w:eastAsia="宋体" w:cs="宋体"/>
          <w:spacing w:val="-5"/>
          <w:sz w:val="25"/>
          <w:szCs w:val="25"/>
        </w:rPr>
        <w:t>的中选单位。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81" w:line="219" w:lineRule="auto"/>
        <w:ind w:left="4174" w:firstLine="468" w:firstLineChars="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8"/>
          <w:sz w:val="25"/>
          <w:szCs w:val="25"/>
        </w:rPr>
        <w:t>采购人：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上海金山新城基础设施建设管理有限公司</w:t>
      </w:r>
    </w:p>
    <w:p>
      <w:pPr>
        <w:spacing w:before="165" w:line="219" w:lineRule="auto"/>
        <w:ind w:left="4914"/>
        <w:rPr>
          <w:rFonts w:hint="eastAsia" w:ascii="宋体" w:hAnsi="宋体" w:eastAsia="宋体" w:cs="宋体"/>
          <w:sz w:val="25"/>
          <w:szCs w:val="25"/>
          <w:lang w:eastAsia="zh-CN"/>
        </w:rPr>
      </w:pPr>
      <w:r>
        <w:rPr>
          <w:rFonts w:ascii="宋体" w:hAnsi="宋体" w:eastAsia="宋体" w:cs="宋体"/>
          <w:spacing w:val="-7"/>
          <w:sz w:val="25"/>
          <w:szCs w:val="25"/>
        </w:rPr>
        <w:t>代理公司：</w:t>
      </w:r>
      <w:r>
        <w:rPr>
          <w:rFonts w:hint="eastAsia" w:ascii="宋体" w:hAnsi="宋体" w:eastAsia="宋体" w:cs="宋体"/>
          <w:spacing w:val="-7"/>
          <w:sz w:val="25"/>
          <w:szCs w:val="25"/>
          <w:lang w:eastAsia="zh-CN"/>
        </w:rPr>
        <w:t>上海金阁建设咨询有限公司</w:t>
      </w:r>
    </w:p>
    <w:p>
      <w:pPr>
        <w:spacing w:before="164" w:line="219" w:lineRule="auto"/>
        <w:ind w:firstLine="6556" w:firstLineChars="220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4"/>
          <w:sz w:val="25"/>
          <w:szCs w:val="25"/>
        </w:rPr>
        <w:t>202</w:t>
      </w:r>
      <w:r>
        <w:rPr>
          <w:rFonts w:hint="eastAsia" w:ascii="宋体" w:hAnsi="宋体" w:eastAsia="宋体" w:cs="宋体"/>
          <w:spacing w:val="24"/>
          <w:sz w:val="25"/>
          <w:szCs w:val="25"/>
          <w:lang w:val="en-US" w:eastAsia="zh-CN"/>
        </w:rPr>
        <w:t>3</w:t>
      </w:r>
      <w:r>
        <w:rPr>
          <w:rFonts w:ascii="宋体" w:hAnsi="宋体" w:eastAsia="宋体" w:cs="宋体"/>
          <w:spacing w:val="24"/>
          <w:sz w:val="25"/>
          <w:szCs w:val="25"/>
        </w:rPr>
        <w:t>年</w:t>
      </w:r>
      <w:r>
        <w:rPr>
          <w:rFonts w:hint="eastAsia" w:ascii="宋体" w:hAnsi="宋体" w:eastAsia="宋体" w:cs="宋体"/>
          <w:spacing w:val="24"/>
          <w:sz w:val="25"/>
          <w:szCs w:val="25"/>
          <w:lang w:val="en-US" w:eastAsia="zh-CN"/>
        </w:rPr>
        <w:t>04</w:t>
      </w:r>
      <w:r>
        <w:rPr>
          <w:rFonts w:ascii="宋体" w:hAnsi="宋体" w:eastAsia="宋体" w:cs="宋体"/>
          <w:spacing w:val="24"/>
          <w:sz w:val="25"/>
          <w:szCs w:val="25"/>
        </w:rPr>
        <w:t>月</w:t>
      </w:r>
      <w:r>
        <w:rPr>
          <w:rFonts w:hint="eastAsia" w:ascii="宋体" w:hAnsi="宋体" w:eastAsia="宋体" w:cs="宋体"/>
          <w:spacing w:val="24"/>
          <w:sz w:val="25"/>
          <w:szCs w:val="25"/>
          <w:lang w:val="en-US" w:eastAsia="zh-CN"/>
        </w:rPr>
        <w:t>13</w:t>
      </w:r>
      <w:r>
        <w:rPr>
          <w:rFonts w:ascii="宋体" w:hAnsi="宋体" w:eastAsia="宋体" w:cs="宋体"/>
          <w:spacing w:val="24"/>
          <w:sz w:val="25"/>
          <w:szCs w:val="25"/>
        </w:rPr>
        <w:t>日</w:t>
      </w:r>
    </w:p>
    <w:sectPr>
      <w:footerReference r:id="rId6" w:type="default"/>
      <w:pgSz w:w="11900" w:h="16820"/>
      <w:pgMar w:top="1245" w:right="914" w:bottom="1051" w:left="875" w:header="0" w:footer="7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01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95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z w:val="33"/>
        <w:szCs w:val="33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4MWNjYjBkOGVlZTYwNzU2YWNkZTU4ZDNjNDkyMDAifQ=="/>
  </w:docVars>
  <w:rsids>
    <w:rsidRoot w:val="00000000"/>
    <w:rsid w:val="005805D2"/>
    <w:rsid w:val="13B642B4"/>
    <w:rsid w:val="20785DD5"/>
    <w:rsid w:val="25B20DC9"/>
    <w:rsid w:val="260F6210"/>
    <w:rsid w:val="4C1D7124"/>
    <w:rsid w:val="4F484604"/>
    <w:rsid w:val="59DA7C9A"/>
    <w:rsid w:val="75656F11"/>
    <w:rsid w:val="769A3BC9"/>
    <w:rsid w:val="7B432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682</Words>
  <Characters>719</Characters>
  <TotalTime>1</TotalTime>
  <ScaleCrop>false</ScaleCrop>
  <LinksUpToDate>false</LinksUpToDate>
  <CharactersWithSpaces>731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2023-01-18T13:43:00Z</dcterms:created>
  <dc:creator>Kingsoft-PDF</dc:creator>
  <cp:lastModifiedBy>杺の领域</cp:lastModifiedBy>
  <dcterms:modified xsi:type="dcterms:W3CDTF">2023-12-11T06:35:22Z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2023-01-18T13:43:35Z</vt:filetime>
  </property>
  <property fmtid="{D5CDD505-2E9C-101B-9397-08002B2CF9AE}" pid="4" name="UsrData">
    <vt:lpwstr>63c786fae817070015d862f6</vt:lpwstr>
  </property>
  <property fmtid="{D5CDD505-2E9C-101B-9397-08002B2CF9AE}" pid="5" name="KSOProductBuildVer">
    <vt:lpwstr>2052-12.1.0.15990</vt:lpwstr>
  </property>
  <property fmtid="{D5CDD505-2E9C-101B-9397-08002B2CF9AE}" pid="6" name="ICV">
    <vt:lpwstr>6959149FFA6E4DF8A27864FF6EDDFDC8_13</vt:lpwstr>
  </property>
</Properties>
</file>